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866"/>
      </w:tblGrid>
      <w:tr>
        <w:tc>
          <w:tcPr>
            <w:tcW w:type="dxa" w:w="9866"/>
            <w:shd w:fill="071633"/>
            <w:tcMar>
              <w:top w:w="260" w:type="dxa"/>
              <w:left w:w="280" w:type="dxa"/>
              <w:bottom w:w="260" w:type="dxa"/>
              <w:right w:w="280" w:type="dxa"/>
            </w:tcMar>
            <w:tcBorders>
              <w:bottom w:sz="24" w:val="single" w:color="E04F00"/>
            </w:tcBorders>
          </w:tcPr>
          <w:p>
            <w:pPr>
              <w:spacing w:after="120"/>
            </w:pPr>
            <w:r>
              <w:rPr>
                <w:rFonts w:ascii="Calibri" w:hAnsi="Calibri"/>
                <w:b/>
                <w:color w:val="7DD3FC"/>
                <w:sz w:val="18"/>
              </w:rPr>
              <w:t>DOCUMENTO COMMERCIALE &amp; NORMATIVO 2025–2026 • DAMC — D'ANDREA MASSIMO CONSULENZE</w:t>
              <w:br/>
            </w:r>
            <w:r>
              <w:rPr>
                <w:rFonts w:ascii="Calibri" w:hAnsi="Calibri"/>
                <w:b/>
                <w:color w:val="FFFFFF"/>
                <w:sz w:val="33"/>
              </w:rPr>
              <w:t xml:space="preserve">L'EMERGENZA NORMATIVA DELLE PMI ITALIANE (2025–2026): </w:t>
            </w:r>
            <w:r>
              <w:rPr>
                <w:rFonts w:ascii="Calibri" w:hAnsi="Calibri"/>
                <w:b/>
                <w:color w:val="38BDF8"/>
                <w:sz w:val="33"/>
              </w:rPr>
              <w:t>IL PROBLEMA REALE IN AZIENDA E COME LO RISOLVIAMO IN AUTOMATICO</w:t>
              <w:br/>
            </w:r>
            <w:r>
              <w:rPr>
                <w:rFonts w:ascii="Calibri" w:hAnsi="Calibri"/>
                <w:color w:val="E2E8F0"/>
                <w:sz w:val="21"/>
              </w:rPr>
              <w:t>Perché i nuovi obblighi europei e italiani bloccano le vendite, le dogane e i cantieri — e come la suite Smart Compliance PRO (https://v2.damc.it/#smart-smart_compliance_pro) di LAB Enterprise v2.1 elimina il lavoro manuale, i fogli Excel e il rischio di sanzioni milionarie o responsabilità penali per l'imprenditore.</w:t>
            </w:r>
          </w:p>
        </w:tc>
      </w:tr>
    </w:tbl>
    <w:p>
      <w:pPr>
        <w:spacing w:after="80"/>
      </w:pPr>
    </w:p>
    <w:p>
      <w:pPr>
        <w:spacing w:before="280" w:after="120"/>
      </w:pPr>
      <w:r>
        <w:rPr>
          <w:b/>
          <w:color w:val="071633"/>
          <w:sz w:val="27"/>
        </w:rPr>
        <w:t>1. IL PROBLEMA: Lo Tsunami Normativo 2025–2026 che sta bloccando le PMI</w:t>
      </w:r>
      <w:r>
        <w:rPr>
          <w:b/>
          <w:color w:val="E04F00"/>
          <w:sz w:val="19"/>
        </w:rPr>
        <w:t xml:space="preserve">   [COSA STA SUCCEDENDO OGGI]</w:t>
      </w:r>
    </w:p>
    <w:p>
      <w:pPr>
        <w:spacing w:after="120"/>
      </w:pPr>
      <w:r>
        <w:t>Fino a ieri, per una piccola o media impresa italiana la 'conformità normativa' era un adempimento formale delegato al commercialista o a un consulente esterno una volta all'anno. Tra il 2025 e il 2026 lo scenario è cambiato radicalmente: l'Unione Europea e lo Stato Italiano hanno introdotto 8 normative stringenti che entrano direttamente nei reparti operativi (Ufficio Acquisti, Magazzino, Produzione, Spedizioni e Amministrazione).</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I 4 GRAVI PROBLEMI CHE L'IMPRENDITORE VIVE OGGI IN AZIENDA:</w:t>
            </w:r>
          </w:p>
          <w:p>
            <w:pPr>
              <w:spacing w:before="40" w:after="60"/>
              <w:ind w:left="227"/>
            </w:pPr>
            <w:r>
              <w:rPr>
                <w:b/>
                <w:color w:val="B91C1C"/>
                <w:sz w:val="19"/>
              </w:rPr>
              <w:t xml:space="preserve">✖  </w:t>
            </w:r>
            <w:r>
              <w:rPr>
                <w:b/>
                <w:color w:val="0F172A"/>
                <w:sz w:val="19"/>
              </w:rPr>
              <w:t xml:space="preserve">1. Blocco immediato del business (non è più solo una multa): </w:t>
            </w:r>
            <w:r>
              <w:rPr>
                <w:color w:val="1E293B"/>
                <w:sz w:val="19"/>
              </w:rPr>
              <w:t>Senza il Passaporto Digitale QR sul prodotto (Reg. UE 2024/1781) non puoi più vendere nella GDO o ai brand europei; senza la dichiarazione CBAM (Reg. UE 2023/956) o le coordinate GPS EUDR (Reg. UE 2023/1115) la Dogana blocca i container di acciaio, alluminio, viteria, legno, gomma, carta o pelle; senza il fascicolo EN 1090-1 e la DoP il Direttore dei Lavori blocca il cantiere e non liquida lo stato avanzamento lavori (SAL).</w:t>
            </w:r>
          </w:p>
          <w:p>
            <w:pPr>
              <w:spacing w:before="40" w:after="60"/>
              <w:ind w:left="227"/>
            </w:pPr>
            <w:r>
              <w:rPr>
                <w:b/>
                <w:color w:val="B91C1C"/>
                <w:sz w:val="19"/>
              </w:rPr>
              <w:t xml:space="preserve">✖  </w:t>
            </w:r>
            <w:r>
              <w:rPr>
                <w:b/>
                <w:color w:val="0F172A"/>
                <w:sz w:val="19"/>
              </w:rPr>
              <w:t xml:space="preserve">2. Responsabilità Penale e Patrimoniale Personale dell'Amministratore: </w:t>
            </w:r>
            <w:r>
              <w:rPr>
                <w:color w:val="1E293B"/>
                <w:sz w:val="19"/>
              </w:rPr>
              <w:t>Le nuove norme colpiscono direttamente la persona fisica dell'imprenditore: l'Art. 2086 comma 2 del Codice Civile rende l'Amministratore personalmente responsabile con il proprio patrimonio (casa, conti personali) se l'azienda non ha un sistema di controllo del Cashflow a 12 mesi e dei margini; il D.Lgs. 106/2017 prevede l'arresto fino a 6 mesi per forniture strutturali prive di DoP/Marcatura CE; l'Art. 258 del Testo Unico Ambientale prevede la sospensione dalla carica di Amministratore da 1 a 12 mesi per irregolarità sui registri rifiuti pericolosi (RENTRI).</w:t>
            </w:r>
          </w:p>
          <w:p>
            <w:pPr>
              <w:spacing w:before="40" w:after="60"/>
              <w:ind w:left="227"/>
            </w:pPr>
            <w:r>
              <w:rPr>
                <w:b/>
                <w:color w:val="B91C1C"/>
                <w:sz w:val="19"/>
              </w:rPr>
              <w:t xml:space="preserve">✖  </w:t>
            </w:r>
            <w:r>
              <w:rPr>
                <w:b/>
                <w:color w:val="0F172A"/>
                <w:sz w:val="19"/>
              </w:rPr>
              <w:t xml:space="preserve">3. Caos da Fogli Excel, Doppio Lavoro e Portali Esterni Scollegati: </w:t>
            </w:r>
            <w:r>
              <w:rPr>
                <w:color w:val="1E293B"/>
                <w:sz w:val="19"/>
              </w:rPr>
              <w:t>Per tentare di adeguarsi, le aziende stanno comprando 4 o 5 micro-software diversi o compilando infiniti fogli Excel manuali: gli impiegati devono ricopiare a mano codici articolo, pesi degli imballaggi, codici doganali TARIC, numeri di colata 3.1, coordinate GPS e formulari rifiuti. Risultato: centinaia di ore perse, errori umani inevitabili e dati mai aggiornati in caso di ispezione.</w:t>
            </w:r>
          </w:p>
          <w:p>
            <w:pPr>
              <w:spacing w:before="40" w:after="60"/>
              <w:ind w:left="227"/>
            </w:pPr>
            <w:r>
              <w:rPr>
                <w:b/>
                <w:color w:val="B91C1C"/>
                <w:sz w:val="19"/>
              </w:rPr>
              <w:t xml:space="preserve">✖  </w:t>
            </w:r>
            <w:r>
              <w:rPr>
                <w:b/>
                <w:color w:val="0F172A"/>
                <w:sz w:val="19"/>
              </w:rPr>
              <w:t xml:space="preserve">4. Costi di Consulenza e Licenze Insostenibili: </w:t>
            </w:r>
            <w:r>
              <w:rPr>
                <w:color w:val="1E293B"/>
                <w:sz w:val="19"/>
              </w:rPr>
              <w:t>Affidare ogni singola pratica (CONAI, CBAM, RENTRI, EN 1090, verbali 2086 c.c.) a studi esterni o pagare gestionali tradizionali con canoni a singolo utente costa alle PMI decine di migliaia di euro l'anno senza lasciare alcuno strumento strutturato in azienda.</w:t>
            </w:r>
          </w:p>
        </w:tc>
      </w:tr>
    </w:tbl>
    <w:p>
      <w:pPr>
        <w:spacing w:before="0" w:after="100"/>
      </w:pPr>
    </w:p>
    <w:p>
      <w:pPr>
        <w:spacing w:before="280" w:after="120"/>
      </w:pPr>
      <w:r>
        <w:rPr>
          <w:b/>
          <w:color w:val="071633"/>
          <w:sz w:val="27"/>
        </w:rPr>
        <w:t>2. COME LO RISOLVIAMO: L'Approccio Nativo di DAMC con LAB Enterprise v2.1</w:t>
      </w:r>
      <w:r>
        <w:rPr>
          <w:b/>
          <w:color w:val="E04F00"/>
          <w:sz w:val="19"/>
        </w:rPr>
        <w:t xml:space="preserve">   [LA NOSTRA SOLUZIONE]</w:t>
      </w:r>
    </w:p>
    <w:p>
      <w:pPr>
        <w:spacing w:after="120"/>
      </w:pPr>
      <w:r>
        <w:t>In DAMC — D'Andrea Massimo Consulenze siamo partiti da una constatazione ingegneristica semplice: il 95% dei dati richiesti dalle nuove leggi europee e italiane transita GIÀ ogni giorno dentro l'azienda quando fai un ordine a fornitore, carichi una bolla in magazzino, esplodi una distinta base (BOM), tagli una lamiera, prepari una scatola di spedizione o registri una fattura.</w:t>
      </w: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LA SOLUZIONE DAMC (https://v2.damc.it/#smart-smart_compliance_pro) — ZERO DOPPIO LAVORO:</w:t>
              <w:br/>
            </w:r>
            <w:r>
              <w:rPr>
                <w:rFonts w:ascii="Calibri" w:hAnsi="Calibri"/>
                <w:i w:val="0"/>
                <w:color w:val="1E293B"/>
                <w:sz w:val="19"/>
              </w:rPr>
              <w:t>Invece di venderti un programma esterno dove ricopiare i dati a mano, abbiamo integrato la suite Smart Compliance PRO direttamente nel cuore dell'ERP/MES LAB Enterprise v2.1:</w:t>
            </w:r>
          </w:p>
          <w:p>
            <w:pPr>
              <w:spacing w:before="40" w:after="60"/>
              <w:ind w:left="227"/>
            </w:pPr>
            <w:r>
              <w:rPr>
                <w:b/>
                <w:color w:val="047857"/>
                <w:sz w:val="19"/>
              </w:rPr>
              <w:t xml:space="preserve">✔  </w:t>
            </w:r>
            <w:r>
              <w:rPr>
                <w:b/>
                <w:color w:val="0F172A"/>
                <w:sz w:val="19"/>
              </w:rPr>
              <w:t xml:space="preserve">I dati nascono da soli mentre lavori: </w:t>
            </w:r>
            <w:r>
              <w:rPr>
                <w:color w:val="1E293B"/>
                <w:sz w:val="19"/>
              </w:rPr>
              <w:t>Quando l'operatore prepara un DDT o una Packing List, LAB Enterprise calcola già in automatico il peso degli imballi per il CONAI e verifica che lo spazio vuoto nella scatola sia inferiore al 50% (Reg. PPWR); quando registri una fattura d'acquisto dall'estero, il gestionale intercetta da solo il codice doganale TARIC e calcola le emissioni di CO2 per il CBAM; quando tagli una lamiera con CutLogic 2D, il sistema eredita il certificato di colata 3.1 e prepara già la Dichiarazione di Prestazione (DoP) e l'etichetta CE (EN 1090-1).</w:t>
            </w:r>
          </w:p>
          <w:p>
            <w:pPr>
              <w:spacing w:before="40" w:after="60"/>
              <w:ind w:left="227"/>
            </w:pPr>
            <w:r>
              <w:rPr>
                <w:b/>
                <w:color w:val="047857"/>
                <w:sz w:val="19"/>
              </w:rPr>
              <w:t xml:space="preserve">✔  </w:t>
            </w:r>
            <w:r>
              <w:rPr>
                <w:b/>
                <w:color w:val="0F172A"/>
                <w:sz w:val="19"/>
              </w:rPr>
              <w:t xml:space="preserve">Sincronizzazione 1-Click e Generazione Automatica di QR Code, XML, CSV e Verbali PDF: </w:t>
            </w:r>
            <w:r>
              <w:rPr>
                <w:color w:val="1E293B"/>
                <w:sz w:val="19"/>
              </w:rPr>
              <w:t>Con un solo click generi il Passaporto Digitale di Prodotto (DPP) con QR Code vettoriale e pagina web pubblica JSON-LD direttamente dall'Anagrafica Articoli; esporti i tracciati ufficiali CSV/XML per CONAI, RENTRI e Registro CBAM UE; stampi il Verbale Trimestrale degli Adeguati Assetti (Art. 2086 c.c.) con il calcolo automatico di Cashflow a 12 mesi (DSCR) e margini analitici (CO.AN MDC/EBIT).</w:t>
            </w:r>
          </w:p>
          <w:p>
            <w:pPr>
              <w:spacing w:before="40" w:after="60"/>
              <w:ind w:left="227"/>
            </w:pPr>
            <w:r>
              <w:rPr>
                <w:b/>
                <w:color w:val="047857"/>
                <w:sz w:val="19"/>
              </w:rPr>
              <w:t xml:space="preserve">✔  </w:t>
            </w:r>
            <w:r>
              <w:rPr>
                <w:b/>
                <w:color w:val="0F172A"/>
                <w:sz w:val="19"/>
              </w:rPr>
              <w:t xml:space="preserve">Moduli Indipendenti Attivabili On-Demand e Utenti Illimitati: </w:t>
            </w:r>
            <w:r>
              <w:rPr>
                <w:color w:val="1E293B"/>
                <w:sz w:val="19"/>
              </w:rPr>
              <w:t>Ogni azienda attiva solo i moduli normativi del proprio settore (senza appesantire le schermate per gli altri reparti) e beneficia della politica esclusiva LAB Enterprise: ZERO costi di licenza per singolo utente.</w:t>
            </w:r>
          </w:p>
        </w:tc>
      </w:tr>
    </w:tbl>
    <w:p>
      <w:pPr>
        <w:spacing w:before="0" w:after="100"/>
      </w:pPr>
    </w:p>
    <w:p>
      <w:pPr>
        <w:spacing w:before="280" w:after="120"/>
      </w:pPr>
      <w:r>
        <w:rPr>
          <w:b/>
          <w:color w:val="071633"/>
          <w:sz w:val="27"/>
        </w:rPr>
        <w:t>3. Analisi Dettagliata delle 8 Normative: Problema, Stralci di Legge e Soluzione DAMC</w:t>
      </w:r>
      <w:r>
        <w:rPr>
          <w:b/>
          <w:color w:val="E04F00"/>
          <w:sz w:val="19"/>
        </w:rPr>
        <w:t xml:space="preserve">   [GUIDA OPERATIVA E NORMATIVA]</w:t>
      </w:r>
    </w:p>
    <w:p>
      <w:pPr>
        <w:spacing w:before="280" w:after="40"/>
      </w:pPr>
      <w:r>
        <w:rPr>
          <w:b/>
          <w:color w:val="071633"/>
          <w:sz w:val="24"/>
        </w:rPr>
        <w:t>3.1. Imballaggi, Spazio Vuoto &lt; 50% e CONAI — Regolamento (UE) 2025/40 (PPWR)</w:t>
      </w:r>
    </w:p>
    <w:p>
      <w:pPr>
        <w:spacing w:before="0" w:after="120"/>
      </w:pPr>
      <w:r>
        <w:rPr>
          <w:b/>
          <w:color w:val="E04F00"/>
          <w:sz w:val="18"/>
        </w:rPr>
        <w:t>Scadenza: Applicazione dal 12 Agosto 2026 (Obbligo spazio vuoto &lt;50% e classi riciclabilità A/B/C) | Modulo LAB: /pages/ppwr</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Ogni azienda che spedisce merce in scatole, pallet, buste o imballi e-commerce deve conoscere il peso esatto di ogni materiale (carta, plastica, legno, ferro), dimostrare che i propri imballi hanno almeno il 70% di riciclabilità, usare quote minime di plastica riciclata (10%–35%), apporre l'etichettatura ambientale e garantire che lo spazio vuoto dentro il collo (inclusi pluriball, polistirolo e cuscini d'aria!) non superi il 50%. Farlo a mano su migliaia di spedizioni è impossibile.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In LAB Enterprise (/pages/ppwr) abbiamo integrato il Catalogo Imballaggi Standard (PAP 20, LDPE 04, FOR 50, FE 40) direttamente con l'Anagrafica Articoli e la Packing List.</w:t>
            </w:r>
          </w:p>
          <w:p>
            <w:pPr>
              <w:spacing w:before="40" w:after="60"/>
              <w:ind w:left="227"/>
            </w:pPr>
            <w:r>
              <w:rPr>
                <w:b/>
                <w:color w:val="047857"/>
                <w:sz w:val="19"/>
              </w:rPr>
              <w:t xml:space="preserve">✔  </w:t>
            </w:r>
            <w:r>
              <w:rPr>
                <w:color w:val="1E293B"/>
                <w:sz w:val="19"/>
              </w:rPr>
              <w:t>Il motore volumetrico (calculateBoxEmptySpace) calcola in automatico il volume occupato dagli articoli rispetto alla scatola e blocca/avvisa l'operatore se lo spazio vuoto supera il 50% previsto dall'Art. 24 PPWR.</w:t>
            </w:r>
          </w:p>
          <w:p>
            <w:pPr>
              <w:spacing w:before="40" w:after="60"/>
              <w:ind w:left="227"/>
            </w:pPr>
            <w:r>
              <w:rPr>
                <w:b/>
                <w:color w:val="047857"/>
                <w:sz w:val="19"/>
              </w:rPr>
              <w:t xml:space="preserve">✔  </w:t>
            </w:r>
            <w:r>
              <w:rPr>
                <w:color w:val="1E293B"/>
                <w:sz w:val="19"/>
              </w:rPr>
              <w:t>A fine mese o trimestre, con 1 click il gestionale estrae dai DDT e dalle Fatture tutti i pesi per materiale, genera il CSV CONAI e pubblica la pagina QR Code del Passaporto Digitale dell'Imballaggio (/ppwr/passaporto/{codice}).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24, par. 1 e 2 — Regolamento (UE) 2025/40 (Obbligo relativo agli imballaggi eccessivi e limite del 50% di spazio vuoto):</w:t>
              <w:br/>
            </w:r>
            <w:r>
              <w:rPr>
                <w:rFonts w:ascii="Calibri" w:hAnsi="Calibri"/>
                <w:i/>
                <w:color w:val="1E293B"/>
                <w:sz w:val="19"/>
              </w:rPr>
              <w:t>«1. Gli operatori economici che riempiono imballaggi multipli, imballaggi da trasporto o imballaggi per il commercio elettronico provvedono affinché il rapporto massimo di spazio vuoto, espresso in percentuale, non superi il 50 %. 2. [...] Lo spazio occupato da materiali di riempimento, quali trucioli di carta, cuscini d'aria, pluriball, spugne, schiume, polistirolo, lana di legno o polistirolo espanso, è considerato spazio vuoto.»</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6, par. 2 e Articolo 7, par. 1 — Regolamento (UE) 2025/40 (Riciclabilità e Plastica Riciclata):</w:t>
              <w:br/>
            </w:r>
            <w:r>
              <w:rPr>
                <w:rFonts w:ascii="Calibri" w:hAnsi="Calibri"/>
                <w:i/>
                <w:color w:val="1E293B"/>
                <w:sz w:val="19"/>
              </w:rPr>
              <w:t>«Gli imballaggi sono conformi ai criteri di progettazione per il riciclaggio e sono classificati nelle classi di prestazione A, B o C. Gli imballaggi con una prestazione di riciclabilità inferiore al 70 % non sono immessi sul mercato.» «Qualsiasi parte in plastica di un imballaggio immesso sul mercato contiene una percentuale minima di contenuto riciclato post-consumo dal 10 % al 35 %.»</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219, comma 5 e Articolo 261, comma 3 — D.Lgs. 152/2006 (Etichettatura Ambientale e Sanzioni in Italia):</w:t>
              <w:br/>
            </w:r>
            <w:r>
              <w:rPr>
                <w:rFonts w:ascii="Calibri" w:hAnsi="Calibri"/>
                <w:i/>
                <w:color w:val="1E293B"/>
                <w:sz w:val="19"/>
              </w:rPr>
              <w:t>«Tutti gli imballaggi devono essere opportunamente etichettati [...] indicando la natura dei materiali utilizzati sulla base della decisione 97/129/CE.» (Sanzione amministrativa da € 5.000 a € 25.000 per chi immette imballaggi privi dei requisiti).</w:t>
            </w:r>
          </w:p>
        </w:tc>
      </w:tr>
    </w:tbl>
    <w:p>
      <w:pPr>
        <w:spacing w:before="0" w:after="100"/>
      </w:pPr>
    </w:p>
    <w:p>
      <w:pPr>
        <w:spacing w:before="280" w:after="40"/>
      </w:pPr>
      <w:r>
        <w:rPr>
          <w:b/>
          <w:color w:val="071633"/>
          <w:sz w:val="24"/>
        </w:rPr>
        <w:t>3.2. Passaporto Digitale di Prodotto (DPP), Sicurezza GPSR &amp; EPR Tessile — Reg. (UE) 2024/1781 (ESPR)</w:t>
      </w:r>
    </w:p>
    <w:p>
      <w:pPr>
        <w:spacing w:before="0" w:after="120"/>
      </w:pPr>
      <w:r>
        <w:rPr>
          <w:b/>
          <w:color w:val="E04F00"/>
          <w:sz w:val="18"/>
        </w:rPr>
        <w:t>Scadenza: In vigore (Divieto distruzione invenduto Moda/Calzature dal 19 Luglio 2026) | Modulo LAB: /pages/dpp_passaporto</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Le aziende manifatturiere (moda, maglieria, calzature, arredamento, metalmeccanica, elettronica) non potranno più immettere prodotti sul mercato UE senza un Passaporto Digitale di Prodotto (DPP) accessibile tramite QR Code, contenente composizione, fornitori, Carbon Footprint, riparabilità e certificazioni in formato aperto JSON-LD. Inoltre, dal 19 luglio 2026 è vietato mandare al macero l'invenduto tessile/calzature e scatta il contributo ambientale EPR Tessile basato sull'eco-modulazione.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Il modulo /pages/dpp_passaporto di LAB Enterprise sincronizza con 1 click (ajaxSyncDppFromAnagrafica) tutti gli articoli già presenti in Anagrafica e Modelleria (tessuti, accessori, etichette di lavaggio, distinte base BOM).</w:t>
            </w:r>
          </w:p>
          <w:p>
            <w:pPr>
              <w:spacing w:before="40" w:after="60"/>
              <w:ind w:left="227"/>
            </w:pPr>
            <w:r>
              <w:rPr>
                <w:b/>
                <w:color w:val="047857"/>
                <w:sz w:val="19"/>
              </w:rPr>
              <w:t xml:space="preserve">✔  </w:t>
            </w:r>
            <w:r>
              <w:rPr>
                <w:color w:val="1E293B"/>
                <w:sz w:val="19"/>
              </w:rPr>
              <w:t>Per ogni articolo genera automaticamente l'identificativo univoco persistente (UID) e il QR Code SVG stampabile direttamente sui cartellini prezzo, sulle etichette collo e sui DDT.</w:t>
            </w:r>
          </w:p>
          <w:p>
            <w:pPr>
              <w:spacing w:before="40" w:after="60"/>
              <w:ind w:left="227"/>
            </w:pPr>
            <w:r>
              <w:rPr>
                <w:b/>
                <w:color w:val="047857"/>
                <w:sz w:val="19"/>
              </w:rPr>
              <w:t xml:space="preserve">✔  </w:t>
            </w:r>
            <w:r>
              <w:rPr>
                <w:color w:val="1E293B"/>
                <w:sz w:val="19"/>
              </w:rPr>
              <w:t>Pubblica automaticamente la scheda web interoperabile (/compliance/passaporto_prodotto/{uid}) con tracciato JSON-LD per clienti e dogane e calcola il report EPR Tessile (ajaxEprTessileReport).</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9, par. 1 e Articolo 10, par. 1 — Regolamento (UE) 2024/1781 (Obbligo del Passaporto Digitale di Prodotto):</w:t>
              <w:br/>
            </w:r>
            <w:r>
              <w:rPr>
                <w:rFonts w:ascii="Calibri" w:hAnsi="Calibri"/>
                <w:i/>
                <w:color w:val="1E293B"/>
                <w:sz w:val="19"/>
              </w:rPr>
              <w:t>«I prodotti possono essere immessi sul mercato o messi in servizio solo se è disponibile un passaporto digitale di prodotto conforme [...]. Il passaporto digitale è collegato mediante un supporto dati [QR Code / RFID] a un identificativo univoco del prodotto persistente; tutti i dati inclusi sono basati su norme aperte, in formato interoperabile e leggibili meccanicamente.»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25, par. 1 — Regolamento (UE) 2024/1781 (Divieto di distruzione dei prodotti invenduti):</w:t>
              <w:br/>
            </w:r>
            <w:r>
              <w:rPr>
                <w:rFonts w:ascii="Calibri" w:hAnsi="Calibri"/>
                <w:i/>
                <w:color w:val="1E293B"/>
                <w:sz w:val="19"/>
              </w:rPr>
              <w:t>«A decorrere dal 19 luglio 2026 è vietata la distruzione dei prodotti di consumo invenduti elencati nell'allegato VII [prodotti di abbigliamento, accessori di abbigliamento e calzature].»</w:t>
            </w:r>
          </w:p>
        </w:tc>
      </w:tr>
    </w:tbl>
    <w:p>
      <w:pPr>
        <w:spacing w:before="0" w:after="100"/>
      </w:pPr>
    </w:p>
    <w:p>
      <w:pPr>
        <w:spacing w:before="280" w:after="40"/>
      </w:pPr>
      <w:r>
        <w:rPr>
          <w:b/>
          <w:color w:val="071633"/>
          <w:sz w:val="24"/>
        </w:rPr>
        <w:t>3.3. Importazioni Extra-UE di Acciaio, Ferro e Alluminio — Regolamento (UE) 2023/956 (CBAM)</w:t>
      </w:r>
    </w:p>
    <w:p>
      <w:pPr>
        <w:spacing w:before="0" w:after="120"/>
      </w:pPr>
      <w:r>
        <w:rPr>
          <w:b/>
          <w:color w:val="E04F00"/>
          <w:sz w:val="18"/>
        </w:rPr>
        <w:t>Scadenza: Fase Definitiva in vigore dal 1° Gennaio 2026 | Modulo LAB: /pages/cbam</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Chiunque importi da Paesi Extra-UE (Cina, Turchia, India, UK, Svizzera, ecc.) oltre 50 tonnellate/anno di ferro, acciaio, alluminio, profilati, lamiere o anche semplice viteria e bulloneria (capitoli doganali CN 72, 73, 76) dal 1° gennaio 2026 deve essere 'Dichiarante CBAM Autorizzato', calcolare le tonnellate di CO2 incorporate in ogni lotto importato e restituire i certificati CBAM. Chi sbaglia o non dichiara subisce il blocco della merce in dogana e multe fino a 500 € per tonnellata di CO2.</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In LAB Enterprise (/pages/cbam) non serve cercare le fatture estere a fine trimestre: il sistema legge direttamente i Ricevimenti e le Fatture d'Acquisto filtrando in automatico i codici doganali CN/TARIC soggetti a CBAM.</w:t>
            </w:r>
          </w:p>
          <w:p>
            <w:pPr>
              <w:spacing w:before="40" w:after="60"/>
              <w:ind w:left="227"/>
            </w:pPr>
            <w:r>
              <w:rPr>
                <w:b/>
                <w:color w:val="047857"/>
                <w:sz w:val="19"/>
              </w:rPr>
              <w:t xml:space="preserve">✔  </w:t>
            </w:r>
            <w:r>
              <w:rPr>
                <w:color w:val="1E293B"/>
                <w:sz w:val="19"/>
              </w:rPr>
              <w:t>Calcola automaticamente le emissioni incorporate dirette e indirette (tCO2e/t) per ogni fornitore/impianto estero, tiene sotto controllo la soglia annua di esenzione delle 50 tonnellate ed esporta il file XML/CSV per il Registro CBAM Europeo.</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4 e Articolo 6 — Regolamento (UE) 2023/956 (Obbligo di Autorizzazione e Dichiarazione CBAM):</w:t>
              <w:br/>
            </w:r>
            <w:r>
              <w:rPr>
                <w:rFonts w:ascii="Calibri" w:hAnsi="Calibri"/>
                <w:i/>
                <w:color w:val="1E293B"/>
                <w:sz w:val="19"/>
              </w:rPr>
              <w:t>«Art. 4: Le merci possono essere importate nel territorio doganale dell'Unione solo da un dichiarante CBAM autorizzato.» «Art. 6: La dichiarazione CBAM contiene: a) il quantitativo totale di ciascun tipo di merce importato espresso in tonnellate; b) il totale delle emissioni incorporate espresse in tonnellate di CO2e per tonnellata di merce; c) il numero totale di certificati CBAM da restituire.»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26, par. 1 e 2 — Regolamento (UE) 2023/956 (Sanzioni CBAM):</w:t>
              <w:br/>
            </w:r>
            <w:r>
              <w:rPr>
                <w:rFonts w:ascii="Calibri" w:hAnsi="Calibri"/>
                <w:i/>
                <w:color w:val="1E293B"/>
                <w:sz w:val="19"/>
              </w:rPr>
              <w:t>«Il dichiarante che non restituisce i certificati CBAM è tenuto al pagamento di una sanzione identica a quella della Dir. 2003/87/CE [100 €/tCO2e rivalutata]. Qualora una persona diversa da un dichiarante autorizzato introduca merci senza rispettare gli obblighi, si applica una sanzione da tre a cinque volte superiore [fino a 300–500 € per tonnellata di CO2e].»</w:t>
            </w:r>
          </w:p>
        </w:tc>
      </w:tr>
    </w:tbl>
    <w:p>
      <w:pPr>
        <w:spacing w:before="0" w:after="100"/>
      </w:pPr>
    </w:p>
    <w:p>
      <w:pPr>
        <w:spacing w:before="280" w:after="40"/>
      </w:pPr>
      <w:r>
        <w:rPr>
          <w:b/>
          <w:color w:val="071633"/>
          <w:sz w:val="24"/>
        </w:rPr>
        <w:t>3.4. Filiera Legno, Carta, Imballi, Gomma e Pelle — Regolamento (UE) 2023/1115 (EUDR Deforestazione Zero)</w:t>
      </w:r>
    </w:p>
    <w:p>
      <w:pPr>
        <w:spacing w:before="0" w:after="120"/>
      </w:pPr>
      <w:r>
        <w:rPr>
          <w:b/>
          <w:color w:val="E04F00"/>
          <w:sz w:val="18"/>
        </w:rPr>
        <w:t>Scadenza: 30 Dicembre 2026 (Medie/Grandi) e 30 Giugno 2027 (Micro/Piccole) | Modulo LAB: /pages/eudr_due_diligence</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Le aziende che producono o commercializzano mobili, legno, carta, scatole in cartone, etichette, suole/guarnizioni in gomma o borse/calzature in pelle bovina devono dimostrare tramite una Dichiarazione di Dovuta Diligenza (DDS sul portale UE TRACES NT) che la materia prima non proviene da terreni disboscati dopo il 31 dicembre 2020, raccogliendo le coordinate GPS a 6 cifre decimali (o il poligono GPS se il terreno supera i 4 ettari). Le sanzioni arrivano al 4% del fatturato annuo più la confisca della merce.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Il modulo /pages/eudr_due_diligence di LAB Enterprise permette di registrare su ogni lotto d'acquisto il numero di riferimento DDS e il token di sicurezza TRACES NT fornito dal produttore a monte.</w:t>
            </w:r>
          </w:p>
          <w:p>
            <w:pPr>
              <w:spacing w:before="40" w:after="60"/>
              <w:ind w:left="227"/>
            </w:pPr>
            <w:r>
              <w:rPr>
                <w:b/>
                <w:color w:val="047857"/>
                <w:sz w:val="19"/>
              </w:rPr>
              <w:t xml:space="preserve">✔  </w:t>
            </w:r>
            <w:r>
              <w:rPr>
                <w:color w:val="1E293B"/>
                <w:sz w:val="19"/>
              </w:rPr>
              <w:t>Valida formalmente le coordinate GPS a 6 decimali o i poligoni GeoJSON degli appezzamenti (&gt; 4 ettari), verifica la data di cut-off 31/12/2020 e riporta automaticamente i codici DDS nei DDT e nelle fatture di vendita ai clienti B2B.</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3 e Articolo 9, par. 1, lett. d) — Regolamento (UE) 2023/1115 (Divieto e Geolocalizzazione GPS):</w:t>
              <w:br/>
            </w:r>
            <w:r>
              <w:rPr>
                <w:rFonts w:ascii="Calibri" w:hAnsi="Calibri"/>
                <w:i/>
                <w:color w:val="1E293B"/>
                <w:sz w:val="19"/>
              </w:rPr>
              <w:t>«Le materie prime e i prodotti interessati non sono immessi sul mercato né esportati, a meno che: a) siano a deforestazione zero [cut-off 31 dicembre 2020]; b) siano prodotti nel rispetto della legislazione del paese di produzione; c) siano oggetto di una dichiarazione di dovuta diligenza (DDS).» «L'operatore raccoglie la geolocalizzazione GPS a sei cifre decimali (e mediante poligoni per terreni superiori a 4 ettari) di tutti gli appezzamenti di terreno.»</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25, par. 2 — Regolamento (UE) 2023/1115 (Sanzioni fino al 4% del fatturato e confisca):</w:t>
              <w:br/>
            </w:r>
            <w:r>
              <w:rPr>
                <w:rFonts w:ascii="Calibri" w:hAnsi="Calibri"/>
                <w:i/>
                <w:color w:val="1E293B"/>
                <w:sz w:val="19"/>
              </w:rPr>
              <w:t>«Le sanzioni comprendono: a) sanzioni pecuniarie il cui importo massimo per una persona giuridica è pari ad almeno il 4 % del fatturato annuo totale realizzato nell'Unione; b) la confisca dei prodotti interessati o dei proventi ottenuti; c) l'esclusione fino a 12 mesi dagli appalti pubblici e dai finanziamenti pubblici.»</w:t>
            </w:r>
          </w:p>
        </w:tc>
      </w:tr>
    </w:tbl>
    <w:p>
      <w:pPr>
        <w:spacing w:before="0" w:after="100"/>
      </w:pPr>
    </w:p>
    <w:p>
      <w:pPr>
        <w:spacing w:before="280" w:after="40"/>
      </w:pPr>
      <w:r>
        <w:rPr>
          <w:b/>
          <w:color w:val="071633"/>
          <w:sz w:val="24"/>
        </w:rPr>
        <w:t>3.5. Tracciabilità Digitale dei Rifiuti e Sfridi — RENTRI (D.M. 59/2023 &amp; Art. 258 D.Lgs. 152/2006)</w:t>
      </w:r>
    </w:p>
    <w:p>
      <w:pPr>
        <w:spacing w:before="0" w:after="120"/>
      </w:pPr>
      <w:r>
        <w:rPr>
          <w:b/>
          <w:color w:val="E04F00"/>
          <w:sz w:val="18"/>
        </w:rPr>
        <w:t>Scadenza: Scaglioni completati il 13 Febbraio 2026 • FIR Digitale obbligatorio dal 16 Settembre 2026 | Modulo LAB: /pages/rentri_rifiuti</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Il vecchio registro cartaceo di carico/scarico rifiuti e i vecchi formulari cartacei sono stati sostituiti dal sistema digitale ministeriale RENTRI. Ogni azienda manifatturiera che produce scarti di lavorazione, sfridi metallici, fanghi, oli esausti, imballaggi contaminati o toner deve annotare digitalmente i carichi e gli scarichi con codici EER e classi di pericolo HP e trasmettere i dati al Ministero. L'errore sui rifiuti pericolosi comporta multe fino a 30.000 € e la sospensione dalla carica di Amministratore da 1 a 12 mesi (oltre ai rischi penali D.Lgs. 231/2001).</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In LAB Enterprise (/pages/rentri_rifiuti) il registro cronologico di carico e scarico è integrato direttamente con i reparti produttivi: gli scarti di produzione vengono caricati con il relativo codice EER, stato fisico, peso e classi di pericolosità HP1–HP15.</w:t>
            </w:r>
          </w:p>
          <w:p>
            <w:pPr>
              <w:spacing w:before="40" w:after="60"/>
              <w:ind w:left="227"/>
            </w:pPr>
            <w:r>
              <w:rPr>
                <w:b/>
                <w:color w:val="047857"/>
                <w:sz w:val="19"/>
              </w:rPr>
              <w:t xml:space="preserve">✔  </w:t>
            </w:r>
            <w:r>
              <w:rPr>
                <w:color w:val="1E293B"/>
                <w:sz w:val="19"/>
              </w:rPr>
              <w:t>Il sistema monitora le scadenze del deposito temporaneo, abbina gli scarichi ai Formulari (FIR) e ai trasportatori autorizzati ed esporta con 1 click il file CSV conforme alle specifiche tecniche del portale RENTRI.</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188-bis, comma 4 e Articolo 258, commi 2 e 10 — D.Lgs. 152/2006 (Obbligo digitale RENTRI e Sanzioni):</w:t>
              <w:br/>
            </w:r>
            <w:r>
              <w:rPr>
                <w:rFonts w:ascii="Calibri" w:hAnsi="Calibri"/>
                <w:i/>
                <w:color w:val="1E293B"/>
                <w:sz w:val="19"/>
              </w:rPr>
              <w:t>«Gli adempimenti relativi alla tenuta dei registri cronologici di carico e scarico e del formulario di identificazione dei rifiuti sono effettuati in modalità digitale.» «Chiunque omette di tenere ovvero tiene in modo incompleto il registro di carico e scarico è punito con la sanzione da € 2.000 a € 10.000. Se il registro è relativo a rifiuti pericolosi si applica la sanzione da € 10.000 a € 30.000, nonché nei casi più gravi la sanzione accessoria della sospensione da un mese a un anno dalla carica di amministratore.»</w:t>
            </w:r>
          </w:p>
        </w:tc>
      </w:tr>
    </w:tbl>
    <w:p>
      <w:pPr>
        <w:spacing w:before="0" w:after="100"/>
      </w:pPr>
    </w:p>
    <w:p>
      <w:pPr>
        <w:spacing w:before="280" w:after="40"/>
      </w:pPr>
      <w:r>
        <w:rPr>
          <w:b/>
          <w:color w:val="071633"/>
          <w:sz w:val="24"/>
        </w:rPr>
        <w:t>3.6. Carpenteria Metallica, Lattoneria Strutturale e Cantiere — UNI EN 1090-1 / FPC &amp; D.Lgs. 106/2017</w:t>
      </w:r>
    </w:p>
    <w:p>
      <w:pPr>
        <w:spacing w:before="0" w:after="120"/>
      </w:pPr>
      <w:r>
        <w:rPr>
          <w:b/>
          <w:color w:val="E04F00"/>
          <w:sz w:val="18"/>
        </w:rPr>
        <w:t>Scadenza: Obbligo immediato su ogni fornitura strutturale (Reg. UE 305/2011 &amp; Nuovo CPR Reg. UE 2024/3110) | Modulo LAB: /pages/en1090_fpc</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Per le carpenterie metalliche, le lattonerie industriali e i serramentisti/impiantisti che realizzano elementi strutturali in acciaio o alluminio, ogni singola commessa consegnata in cantiere deve avere la Dichiarazione di Prestazione (DoP), l'Etichetta CE e la rintracciabilità totale dei certificati di colata 3.1 (EN 10204) di ogni lamiera o profilo usato, oltre alla verifica che i saldatori avessero il patentino valido il giorno della saldatura. In caso di controllo o incidente, la mancanza della DoP/CE è un REATO PENALE punito con l'arresto fino a 6 mesi e 50.000 € di ammenda.</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Il modulo /pages/en1090_fpc di LAB Enterprise è collegato nativamente al magazzino lotti e all'ottimizzatore di taglio lamiera CutLogic 2D: quando carichi una bobina o una lastra, registri il numero di colata e il certificato 3.1; anche quando tagli la lamiera e riutilizzi gli sfridi in commesse successive, LAB mantiene il legame automatico con la colata madre!</w:t>
            </w:r>
          </w:p>
          <w:p>
            <w:pPr>
              <w:spacing w:before="40" w:after="60"/>
              <w:ind w:left="227"/>
            </w:pPr>
            <w:r>
              <w:rPr>
                <w:b/>
                <w:color w:val="047857"/>
                <w:sz w:val="19"/>
              </w:rPr>
              <w:t xml:space="preserve">✔  </w:t>
            </w:r>
            <w:r>
              <w:rPr>
                <w:color w:val="1E293B"/>
                <w:sz w:val="19"/>
              </w:rPr>
              <w:t>Controlla in automatico la validità dei patentini saldatori (ISO 9606-1) e delle WPS/WPQR (ISO 15614-1), gestisce la Classe di Esecuzione (EXC1–EXC4) e i controlli CND/NDT, e stampa con 1 click la DoP e l'Etichetta CE allegate al DDT.</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19, comma 2 e Articolo 20, comma 2 — D.Lgs. 16 giugno 2017, n. 106 (Sanzioni Penali per Fabbricante e Direttore Lavori):</w:t>
              <w:br/>
            </w:r>
            <w:r>
              <w:rPr>
                <w:rFonts w:ascii="Calibri" w:hAnsi="Calibri"/>
                <w:i/>
                <w:color w:val="1E293B"/>
                <w:sz w:val="19"/>
              </w:rPr>
              <w:t>«Art. 19 c. 2: Salvo che il fatto costituisca più grave reato, se i prodotti privi di Dichiarazione di Prestazione (DoP) o marcatura CE sono prodotti e materiali destinati ad uso strutturale o ad uso antincendio, il fabbricante è punito con l'arresto sino a sei mesi e con l'ammenda da 10.000 euro a 50.000 euro.» «Art. 20 c. 2: Il costruttore, il direttore dei lavori o il collaudatore che utilizzi prodotti destinati ad uso strutturale non conformi è punito con l'arresto sino a sei mesi e con l'ammenda da 10.000 euro a 50.000 euro.»</w:t>
            </w:r>
          </w:p>
        </w:tc>
      </w:tr>
    </w:tbl>
    <w:p>
      <w:pPr>
        <w:spacing w:before="0" w:after="100"/>
      </w:pPr>
    </w:p>
    <w:p>
      <w:pPr>
        <w:spacing w:before="280" w:after="40"/>
      </w:pPr>
      <w:r>
        <w:rPr>
          <w:b/>
          <w:color w:val="071633"/>
          <w:sz w:val="24"/>
        </w:rPr>
        <w:t>3.7. Tutela Patrimoniale dell'Amministratore — Adeguati Assetti (Art. 2086 c. 2 c.c. &amp; D.Lgs. 14/2019)</w:t>
      </w:r>
    </w:p>
    <w:p>
      <w:pPr>
        <w:spacing w:before="0" w:after="120"/>
      </w:pPr>
      <w:r>
        <w:rPr>
          <w:b/>
          <w:color w:val="E04F00"/>
          <w:sz w:val="18"/>
        </w:rPr>
        <w:t>Scadenza: Obbligo permanente per tutte le S.r.l., S.p.A. e Società | Modulo LAB: /pages/adeguati_assetti + Cashflow + CO.AN PRO</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Molti imprenditori pensano ancora che basti avere la contabilità ordinaria dal commercialista per essere in regola. Non è così: l'Art. 2086 comma 2 del Codice Civile e l'Art. 3 del Codice della Crisi d'Impresa (D.Lgs. 14/2019) obbligano l'amministratore a dotarsi di strumenti interni che calcolino in ogni momento la sostenibilità dei debiti nei 12 mesi successivi (Cashflow previsionale), gli scaduti fornitori a 90 giorni, gli sconfinamenti bancari e i margini reali di commessa. Se l'azienda entra in tensione finanziaria e non ha questi report periodici firmati, l'Amministratore risponde dei debiti societari con il proprio patrimonio personale (Art. 2476 c. 6 c.c.).</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LAB Enterprise risolve alla radice questo rischio unendo 3 moduli nativi: Contabilità Analitica Industriale (CO.AN PRO per calcolare MDC I, MDC II ed EBIT per reparto e commessa), Tesoreria Predittiva a 12 mesi (Cashflow &amp; Ricorrenze AI) e il cruscotto Adeguati Assetti (/pages/adeguati_assetti).</w:t>
            </w:r>
          </w:p>
          <w:p>
            <w:pPr>
              <w:spacing w:before="40" w:after="60"/>
              <w:ind w:left="227"/>
            </w:pPr>
            <w:r>
              <w:rPr>
                <w:b/>
                <w:color w:val="047857"/>
                <w:sz w:val="19"/>
              </w:rPr>
              <w:t xml:space="preserve">✔  </w:t>
            </w:r>
            <w:r>
              <w:rPr>
                <w:color w:val="1E293B"/>
                <w:sz w:val="19"/>
              </w:rPr>
              <w:t>Il sistema verifica in tempo reale tutte le soglie di allerta dell'Art. 3 comma 4 D.Lgs. 14/2019 (scaduti fornitori &gt; 90 gg, banche &gt; 60 gg, DSCR, DSO/DPO, interessi di mora) e genera con 1 click il Verbale Trimestrale di Verifica degli Adeguati Assetti pronto da firmare e archiviare a protezione legale dell'Amministratore.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2086, secondo comma — Codice Civile (Dovere di istituire Adeguati Assetti):</w:t>
              <w:br/>
            </w:r>
            <w:r>
              <w:rPr>
                <w:rFonts w:ascii="Calibri" w:hAnsi="Calibri"/>
                <w:i/>
                <w:color w:val="1E293B"/>
                <w:sz w:val="19"/>
              </w:rPr>
              <w:t>«L'imprenditore, che operi in forma societaria o collettiva, ha il dovere di istituire un assetto organizzativo, amministrativo e contabile adeguato alla natura e alle dimensioni dell'impresa, anche in funzione della rilevazione tempestiva della crisi dell'impresa e della perdita della continuità aziendale...»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Articolo 3, commi 3 e 4 — D.Lgs. 12 gennaio 2019, n. 14 (Codice della Crisi d'Impresa e dell'Insolvenza):</w:t>
              <w:br/>
            </w:r>
            <w:r>
              <w:rPr>
                <w:rFonts w:ascii="Calibri" w:hAnsi="Calibri"/>
                <w:i/>
                <w:color w:val="1E293B"/>
                <w:sz w:val="19"/>
              </w:rPr>
              <w:t>«3. Gli assetti devono consentire di: a) rilevare eventuali squilibri di carattere patrimoniale o economico-finanziario; b) verificare la sostenibilità dei debiti e le prospettive di continuità aziendale almeno per i dodici mesi successivi [...]. 4. Costituiscono segnali di allerta: a) debiti per retribuzioni scaduti da almeno 30 giorni oltre la metà del mensile; b) debiti verso fornitori scaduti da almeno 90 giorni superiori a quelli non scaduti; c) esposizioni bancarie scadute o sconfinate da oltre 60 giorni per almeno il 5% del totale; d) esposizioni verso INPS, INAIL e Agenzia delle Entrate.»</w:t>
            </w:r>
          </w:p>
        </w:tc>
      </w:tr>
    </w:tbl>
    <w:p>
      <w:pPr>
        <w:spacing w:before="0" w:after="100"/>
      </w:pPr>
    </w:p>
    <w:p>
      <w:pPr>
        <w:spacing w:before="280" w:after="40"/>
      </w:pPr>
      <w:r>
        <w:rPr>
          <w:b/>
          <w:color w:val="071633"/>
          <w:sz w:val="24"/>
        </w:rPr>
        <w:t>3.8. Uso Sicuro dell'Intelligenza Artificiale in Azienda — Regolamento (UE) 2024/1689 (EU AI Act)</w:t>
      </w:r>
    </w:p>
    <w:p>
      <w:pPr>
        <w:spacing w:before="0" w:after="120"/>
      </w:pPr>
      <w:r>
        <w:rPr>
          <w:b/>
          <w:color w:val="E04F00"/>
          <w:sz w:val="18"/>
        </w:rPr>
        <w:t>Scadenza: In vigore dal 2 Febbraio 2025 (Pieno regime 2 Agosto 2026) | Modulo LAB: /pages/ai-center (AiComplianceEngine)</w:t>
      </w:r>
    </w:p>
    <w:tbl>
      <w:tblPr>
        <w:tblW w:type="auto" w:w="0"/>
        <w:jc w:val="center"/>
        <w:tblLayout w:type="autofit"/>
        <w:tblLook w:firstColumn="1" w:firstRow="1" w:lastColumn="0" w:lastRow="0" w:noHBand="0" w:noVBand="1" w:val="04A0"/>
      </w:tblPr>
      <w:tblGrid>
        <w:gridCol w:w="9866"/>
      </w:tblGrid>
      <w:tr>
        <w:tc>
          <w:tcPr>
            <w:tcW w:type="dxa" w:w="9866"/>
            <w:shd w:fill="FEF2F2"/>
            <w:tcMar>
              <w:top w:w="150" w:type="dxa"/>
              <w:left w:w="210" w:type="dxa"/>
              <w:bottom w:w="150" w:type="dxa"/>
              <w:right w:w="190" w:type="dxa"/>
            </w:tcMar>
            <w:tcBorders>
              <w:top w:sz="4" w:val="single" w:color="CBD5E1"/>
              <w:bottom w:sz="4" w:val="single" w:color="CBD5E1"/>
              <w:left w:sz="24" w:val="single" w:color="B91C1C"/>
              <w:right w:sz="4" w:val="single" w:color="CBD5E1"/>
            </w:tcBorders>
          </w:tcPr>
          <w:p>
            <w:pPr>
              <w:spacing w:before="0" w:after="80"/>
            </w:pPr>
            <w:r>
              <w:rPr>
                <w:rFonts w:ascii="Calibri" w:hAnsi="Calibri"/>
                <w:b/>
                <w:color w:val="B91C1C"/>
                <w:sz w:val="20"/>
              </w:rPr>
              <w:t>1. IL PROBLEMA CONCRETO PER L'AZIENDA E IL RISCHIO SANZIONI:</w:t>
              <w:br/>
            </w:r>
            <w:r>
              <w:rPr>
                <w:rFonts w:ascii="Calibri" w:hAnsi="Calibri"/>
                <w:i w:val="0"/>
                <w:color w:val="1E293B"/>
                <w:sz w:val="19"/>
              </w:rPr>
              <w:t>Usare chatbot generici (come ChatGPT libero) incollando dati aziendali espone l'impresa a due rischi enormi: da un lato la fuoriuscita di dati sensibili (clienti, listini, bilanci) in violazione del GDPR e dell'AI Act; dall'altro le 'allucinazioni' dell'IA che inventa cifre o fatture inesistenti portando a decisioni sbagliate.</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0FDF4"/>
            <w:tcMar>
              <w:top w:w="150" w:type="dxa"/>
              <w:left w:w="210" w:type="dxa"/>
              <w:bottom w:w="150" w:type="dxa"/>
              <w:right w:w="190" w:type="dxa"/>
            </w:tcMar>
            <w:tcBorders>
              <w:top w:sz="4" w:val="single" w:color="CBD5E1"/>
              <w:bottom w:sz="4" w:val="single" w:color="CBD5E1"/>
              <w:left w:sz="24" w:val="single" w:color="047857"/>
              <w:right w:sz="4" w:val="single" w:color="CBD5E1"/>
            </w:tcBorders>
          </w:tcPr>
          <w:p>
            <w:pPr>
              <w:spacing w:before="0" w:after="80"/>
            </w:pPr>
            <w:r>
              <w:rPr>
                <w:rFonts w:ascii="Calibri" w:hAnsi="Calibri"/>
                <w:b/>
                <w:color w:val="047857"/>
                <w:sz w:val="20"/>
              </w:rPr>
              <w:t>2. COME LO RISOLVIAMO NOI IN AUTOMATICO CON LAB ENTERPRISE v2.1:</w:t>
            </w:r>
          </w:p>
          <w:p>
            <w:pPr>
              <w:spacing w:before="40" w:after="60"/>
              <w:ind w:left="227"/>
            </w:pPr>
            <w:r>
              <w:rPr>
                <w:b/>
                <w:color w:val="047857"/>
                <w:sz w:val="19"/>
              </w:rPr>
              <w:t xml:space="preserve">✔  </w:t>
            </w:r>
            <w:r>
              <w:rPr>
                <w:color w:val="1E293B"/>
                <w:sz w:val="19"/>
              </w:rPr>
              <w:t>In LAB Enterprise l'Intelligenza Artificiale è governata dal motore proprietario AiComplianceEngine e AiStrictModeGuard: prima di citare qualsiasi numero, cliente o documento, l'AI interroga il database MySQL reale e separa visivamente i 'Dati ERP Certificati' dai 'Suggerimenti AI' (Art. 50 AI Act).</w:t>
            </w:r>
          </w:p>
          <w:p>
            <w:pPr>
              <w:spacing w:before="40" w:after="60"/>
              <w:ind w:left="227"/>
            </w:pPr>
            <w:r>
              <w:rPr>
                <w:b/>
                <w:color w:val="047857"/>
                <w:sz w:val="19"/>
              </w:rPr>
              <w:t xml:space="preserve">✔  </w:t>
            </w:r>
            <w:r>
              <w:rPr>
                <w:color w:val="1E293B"/>
                <w:sz w:val="19"/>
              </w:rPr>
              <w:t>Nessuna azione di scrittura (Prima Nota, ordini, email) parte senza il click umano di conferma (Human-in-the-Loop, Art. 14 AI Act), ogni operazione è registrata nell'Audit Log (Art. 12) ed è possibile attivare l'IA 100% locale (Ollama) senza inviare alcun dato all'esterno.</w:t>
            </w:r>
          </w:p>
        </w:tc>
      </w:tr>
    </w:tbl>
    <w:p>
      <w:pPr>
        <w:spacing w:before="0" w:after="100"/>
      </w:pPr>
    </w:p>
    <w:tbl>
      <w:tblPr>
        <w:tblW w:type="auto" w:w="0"/>
        <w:jc w:val="center"/>
        <w:tblLayout w:type="autofit"/>
        <w:tblLook w:firstColumn="1" w:firstRow="1" w:lastColumn="0" w:lastRow="0" w:noHBand="0" w:noVBand="1" w:val="04A0"/>
      </w:tblPr>
      <w:tblGrid>
        <w:gridCol w:w="9866"/>
      </w:tblGrid>
      <w:tr>
        <w:tc>
          <w:tcPr>
            <w:tcW w:type="dxa" w:w="9866"/>
            <w:shd w:fill="F8FAFC"/>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038A8"/>
                <w:sz w:val="20"/>
              </w:rPr>
              <w:t>📜 RIFERIMENTO DI LEGGE UFFICIALE — Articoli 12, 14 e 50 — Regolamento (UE) 2024/1689 (EU AI Act — Logging, Sorveglianza Umana e Trasparenza):</w:t>
              <w:br/>
            </w:r>
            <w:r>
              <w:rPr>
                <w:rFonts w:ascii="Calibri" w:hAnsi="Calibri"/>
                <w:i/>
                <w:color w:val="1E293B"/>
                <w:sz w:val="19"/>
              </w:rPr>
              <w:t>«Art. 12: I sistemi di IA consentono tecnicamente la registrazione automatica degli eventi ('log') per tutta la durata del ciclo di vita del sistema.» «Art. 14: I sistemi di IA sono progettati in modo tale da poter essere efficacemente sorvegliati da persone fisiche durante il periodo in cui sono in uso.» (Sanzioni fino a € 35 milioni o 7% del fatturato annuo ex Art. 99).</w:t>
            </w:r>
          </w:p>
        </w:tc>
      </w:tr>
    </w:tbl>
    <w:p>
      <w:pPr>
        <w:spacing w:before="0" w:after="100"/>
      </w:pPr>
    </w:p>
    <w:p>
      <w:pPr>
        <w:spacing w:before="280" w:after="120"/>
      </w:pPr>
      <w:r>
        <w:rPr>
          <w:b/>
          <w:color w:val="071633"/>
          <w:sz w:val="27"/>
        </w:rPr>
        <w:t>4. Sintesi Direzionale: Cosa cambia in Azienda con Smart Compliance PRO</w:t>
      </w:r>
      <w:r>
        <w:rPr>
          <w:b/>
          <w:color w:val="E04F00"/>
          <w:sz w:val="19"/>
        </w:rPr>
        <w:t xml:space="preserve">   [PRIMA VS DOPO]</w:t>
      </w:r>
    </w:p>
    <w:tbl>
      <w:tblPr>
        <w:tblW w:type="auto" w:w="0"/>
        <w:jc w:val="center"/>
        <w:tblLook w:firstColumn="1" w:firstRow="1" w:lastColumn="0" w:lastRow="0" w:noHBand="0" w:noVBand="1" w:val="04A0"/>
      </w:tblPr>
      <w:tblGrid>
        <w:gridCol w:w="2466"/>
        <w:gridCol w:w="2466"/>
        <w:gridCol w:w="2466"/>
        <w:gridCol w:w="2466"/>
      </w:tblGrid>
      <w:tr>
        <w:tc>
          <w:tcPr>
            <w:tcW w:type="dxa" w:w="2466"/>
            <w:shd w:fill="071633"/>
            <w:tcMar>
              <w:top w:w="120" w:type="dxa"/>
              <w:left w:w="120" w:type="dxa"/>
              <w:bottom w:w="120" w:type="dxa"/>
              <w:right w:w="120" w:type="dxa"/>
            </w:tcMar>
          </w:tcPr>
          <w:p>
            <w:r/>
            <w:r>
              <w:rPr>
                <w:b/>
                <w:color w:val="FFFFFF"/>
                <w:sz w:val="17"/>
              </w:rPr>
              <w:t>Ambito Obbligo 2025–2026</w:t>
            </w:r>
          </w:p>
        </w:tc>
        <w:tc>
          <w:tcPr>
            <w:tcW w:type="dxa" w:w="2466"/>
            <w:shd w:fill="071633"/>
            <w:tcMar>
              <w:top w:w="120" w:type="dxa"/>
              <w:left w:w="120" w:type="dxa"/>
              <w:bottom w:w="120" w:type="dxa"/>
              <w:right w:w="120" w:type="dxa"/>
            </w:tcMar>
          </w:tcPr>
          <w:p>
            <w:r/>
            <w:r>
              <w:rPr>
                <w:b/>
                <w:color w:val="FFFFFF"/>
                <w:sz w:val="17"/>
              </w:rPr>
              <w:t>SENZA LAB ENTERPRISE</w:t>
              <w:br/>
              <w:t>(Il Problema Oggi in Azienda)</w:t>
            </w:r>
          </w:p>
        </w:tc>
        <w:tc>
          <w:tcPr>
            <w:tcW w:type="dxa" w:w="2466"/>
            <w:shd w:fill="071633"/>
            <w:tcMar>
              <w:top w:w="120" w:type="dxa"/>
              <w:left w:w="120" w:type="dxa"/>
              <w:bottom w:w="120" w:type="dxa"/>
              <w:right w:w="120" w:type="dxa"/>
            </w:tcMar>
          </w:tcPr>
          <w:p>
            <w:r/>
            <w:r>
              <w:rPr>
                <w:b/>
                <w:color w:val="FFFFFF"/>
                <w:sz w:val="17"/>
              </w:rPr>
              <w:t>CON LAB ENTERPRISE v2.1</w:t>
              <w:br/>
              <w:t>(Come lo risolviamo in automatico)</w:t>
            </w:r>
          </w:p>
        </w:tc>
        <w:tc>
          <w:tcPr>
            <w:tcW w:type="dxa" w:w="2466"/>
            <w:shd w:fill="071633"/>
            <w:tcMar>
              <w:top w:w="120" w:type="dxa"/>
              <w:left w:w="120" w:type="dxa"/>
              <w:bottom w:w="120" w:type="dxa"/>
              <w:right w:w="120" w:type="dxa"/>
            </w:tcMar>
          </w:tcPr>
          <w:p>
            <w:r/>
            <w:r>
              <w:rPr>
                <w:b/>
                <w:color w:val="FFFFFF"/>
                <w:sz w:val="17"/>
              </w:rPr>
              <w:t>Riferimento di Legge &amp; Sanzione Evitata</w:t>
            </w:r>
          </w:p>
        </w:tc>
      </w:tr>
      <w:tr>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Imballaggi PPWR &amp; CONAI</w:t>
              <w:br/>
              <w:t>(/pages/ppwr)</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Calcolo manuale dei pesi a fine mese su Excel; nessun controllo sul 50% di spazio vuoto nelle scatole spedite.</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Calcolo automatico spazio vuoto &lt;50% in Packing List, QR passaporto imballo ed export CSV CONAI in 1 click dai DDT.</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Reg. UE 2025/40 (Art. 6, 7, 24)</w:t>
              <w:br/>
              <w:t>Art. 261 TUA (€ 5.000 – € 25.000)</w:t>
            </w:r>
          </w:p>
        </w:tc>
      </w:tr>
      <w:tr>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Passaporto Prodotto DPP &amp; EPR Tessile</w:t>
              <w:br/>
              <w:t>(/pages/dpp_passaporto)</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Rischio blocco vendite GDO/Export; inserimento manuale schede prodotto su portali esterni a pagamento.</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Sync 1-click da Anagrafica/Modelleria, generazione QR Code SVG su etichette, pagina JSON-LD e report EPR.</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Reg. UE 2024/1781 (Art. 9, 10, 25)</w:t>
              <w:br/>
              <w:t>Divieto immissione sul mercato UE</w:t>
            </w:r>
          </w:p>
        </w:tc>
      </w:tr>
      <w:tr>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Dazio Carbonio CBAM Import Extra-UE</w:t>
              <w:br/>
              <w:t>(/pages/cbam)</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Ricerca manuale delle bolle doganali di acciaio/alluminio/viteria; rischio blocco in dogana oltre 50 t/anno.</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Intercettazione automatica codici CN/TARIC da fatture acquisto, calcolo tCO2e/t ed export XML/CSV Registro UE.</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Reg. UE 2023/956 (Art. 4, 6, 26)</w:t>
              <w:br/>
              <w:t>Multe € 100 – € 500 per tCO2e</w:t>
            </w:r>
          </w:p>
        </w:tc>
      </w:tr>
      <w:tr>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Deforestazione Zero EUDR</w:t>
              <w:br/>
              <w:t>(/pages/eudr_due_diligence)</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Impossibilità di tracciare coordinate GPS e codici TRACES NT su carta, cartone, legno, gomma e pelle.</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Archiviazione DDS TRACES NT per lotto, validazione GPS a 6 decimali / poligoni &gt;4 ha e stampa automatica su DDT.</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Reg. UE 2023/1115 (Art. 3, 9, 25)</w:t>
              <w:br/>
              <w:t>Multe fino al 4% fatturato + confisca</w:t>
            </w:r>
          </w:p>
        </w:tc>
      </w:tr>
      <w:tr>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Registro Rifiuti RENTRI</w:t>
              <w:br/>
              <w:t>(/pages/rentri_rifiuti)</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Doppia battitura tra produzione e portale RENTRI; errori su codici EER/HP di sfridi e rifiuti pericolosi.</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Registro cronologico digitale integrato con gli scarti di produzione, controllo scadenze FIR ed export CSV RENTRI.</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D.M. 59/2023 &amp; Art. 258 TUA</w:t>
              <w:br/>
              <w:t>Fino a € 30.000 + sospensione Amm.re</w:t>
            </w:r>
          </w:p>
        </w:tc>
      </w:tr>
      <w:tr>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Marcatura CE Carpenteria EN 1090-1</w:t>
              <w:br/>
              <w:t>(/pages/en1090_fpc)</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Certificati di colata 3.1 sparsi in faldoni cartacei; perdita tracciabilità sugli sfridi; patentini scaduti.</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Genealogia colate 3.1 collegata a CutLogic 2D (anche sugli sfridi!), alert patentini/WPS e stampa DoP + CE.</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Reg. UE 305/2011 &amp; D.Lgs. 106/17</w:t>
              <w:br/>
              <w:t>PENALE: Arresto 6 mesi + € 50.000</w:t>
            </w:r>
          </w:p>
        </w:tc>
      </w:tr>
      <w:tr>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Adeguati Assetti &amp; Crisi d'Impresa</w:t>
              <w:br/>
              <w:t>(/pages/adeguati_assetti)</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Solo bilancio storico dal commercialista; nessuna prova del controllo di Cashflow a 12 mesi e margini.</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Monitoraggio continuo soglie Art. 3 CCII, Cashflow 12 mesi (DSCR), CO.AN (MDC/EBIT) e Verbale Trimestrale PDF.</w:t>
            </w:r>
          </w:p>
        </w:tc>
        <w:tc>
          <w:tcPr>
            <w:tcW w:type="dxa" w:w="2466"/>
            <w:shd w:fill="FFFFFF"/>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Art. 2086 c. 2 c.c. &amp; D.Lgs. 14/19</w:t>
              <w:br/>
              <w:t>Responsabilità personale coi propri beni</w:t>
            </w:r>
          </w:p>
        </w:tc>
      </w:tr>
      <w:tr>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71633"/>
                <w:sz w:val="17"/>
              </w:rPr>
              <w:t>Governance AI Aziendale</w:t>
              <w:br/>
              <w:t>(AiComplianceEngine)</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991B1B"/>
                <w:sz w:val="17"/>
              </w:rPr>
              <w:t>Uso di AI generiche che inventano dati (allucinazioni) o fanno uscire dati riservati fuori dall'azienda.</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b/>
                <w:color w:val="047857"/>
                <w:sz w:val="17"/>
              </w:rPr>
              <w:t>Strict Mode ancorato al DB MySQL reale, conferma umana obbligatoria (Human-in-the-Loop) e Ollama locale.</w:t>
            </w:r>
          </w:p>
        </w:tc>
        <w:tc>
          <w:tcPr>
            <w:tcW w:type="dxa" w:w="2466"/>
            <w:shd w:fill="F8FAFC"/>
            <w:tcMar>
              <w:top w:w="100" w:type="dxa"/>
              <w:left w:w="110" w:type="dxa"/>
              <w:bottom w:w="100" w:type="dxa"/>
              <w:right w:w="110" w:type="dxa"/>
            </w:tcMar>
            <w:tcBorders>
              <w:top w:sz="4" w:val="single" w:color="CBD5E1"/>
              <w:bottom w:sz="4" w:val="single" w:color="CBD5E1"/>
              <w:left w:sz="4" w:val="single" w:color="CBD5E1"/>
              <w:right w:sz="4" w:val="single" w:color="CBD5E1"/>
            </w:tcBorders>
          </w:tcPr>
          <w:p>
            <w:r/>
            <w:r>
              <w:rPr>
                <w:color w:val="1E293B"/>
                <w:sz w:val="17"/>
              </w:rPr>
              <w:t>Reg. UE 2024/1689 (Art. 12, 14, 50)</w:t>
              <w:br/>
              <w:t>Fino a € 35M o 7% fatturato</w:t>
            </w:r>
          </w:p>
        </w:tc>
      </w:tr>
    </w:tbl>
    <w:p>
      <w:pPr>
        <w:spacing w:after="160"/>
      </w:pPr>
    </w:p>
    <w:tbl>
      <w:tblPr>
        <w:tblW w:type="auto" w:w="0"/>
        <w:jc w:val="center"/>
        <w:tblLayout w:type="autofit"/>
        <w:tblLook w:firstColumn="1" w:firstRow="1" w:lastColumn="0" w:lastRow="0" w:noHBand="0" w:noVBand="1" w:val="04A0"/>
      </w:tblPr>
      <w:tblGrid>
        <w:gridCol w:w="9866"/>
      </w:tblGrid>
      <w:tr>
        <w:tc>
          <w:tcPr>
            <w:tcW w:type="dxa" w:w="9866"/>
            <w:shd w:fill="EFF6FF"/>
            <w:tcMar>
              <w:top w:w="150" w:type="dxa"/>
              <w:left w:w="210" w:type="dxa"/>
              <w:bottom w:w="150" w:type="dxa"/>
              <w:right w:w="190" w:type="dxa"/>
            </w:tcMar>
            <w:tcBorders>
              <w:top w:sz="4" w:val="single" w:color="CBD5E1"/>
              <w:bottom w:sz="4" w:val="single" w:color="CBD5E1"/>
              <w:left w:sz="24" w:val="single" w:color="0038A8"/>
              <w:right w:sz="4" w:val="single" w:color="CBD5E1"/>
            </w:tcBorders>
          </w:tcPr>
          <w:p>
            <w:pPr>
              <w:spacing w:before="0" w:after="80"/>
            </w:pPr>
            <w:r>
              <w:rPr>
                <w:rFonts w:ascii="Calibri" w:hAnsi="Calibri"/>
                <w:b/>
                <w:color w:val="071633"/>
                <w:sz w:val="20"/>
              </w:rPr>
              <w:t>PROSSIMO PASSO: CHECK-UP DI CONFORMITÀ E DEMO LIVE SULLA TUA AZIENDA</w:t>
              <w:br/>
            </w:r>
            <w:r>
              <w:rPr>
                <w:rFonts w:ascii="Calibri" w:hAnsi="Calibri"/>
                <w:i w:val="0"/>
                <w:color w:val="1E293B"/>
                <w:sz w:val="19"/>
              </w:rPr>
              <w:t>Con DAMC — D'Andrea Massimo Consulenze non acquisti una semplice licenza software, ma un partner ingegneristico e direzionale che configura LAB Enterprise v2.1 (senza costi per utente) sui tuoi reali flussi produttivi, logistici e amministrativi.</w:t>
              <w:br/>
              <w:t>Contattaci per una diagnosi gratuita dei processi e una simulazione live su https://v2.damc.it/#smart-smart_compliance_pro:</w:t>
              <w:br/>
              <w:t>• Sede Operativa: Via Monte Grappa 165B, 31031 Caerano di San Marco (TV)</w:t>
              <w:br/>
              <w:t>• Telefono / WhatsApp: +39 0423 603 657 | +39 331 3122068</w:t>
              <w:br/>
              <w:t>• Email &amp; Web: info@damc.it | https://www.damc.it | https://v2.damc.it</w:t>
            </w:r>
          </w:p>
        </w:tc>
      </w:tr>
    </w:tbl>
    <w:p>
      <w:pPr>
        <w:spacing w:before="0" w:after="100"/>
      </w:pPr>
    </w:p>
    <w:sectPr w:rsidR="00FC693F" w:rsidRPr="0006063C" w:rsidSect="00034616">
      <w:headerReference w:type="default" r:id="rId9"/>
      <w:footerReference w:type="default" r:id="rId10"/>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4748B"/>
        <w:sz w:val="17"/>
      </w:rPr>
      <w:t>DMC — D'Andrea Massimo Consulenze • Via Monte Grappa 165B, 31031 Caerano di San Marco (TV) • Tel. +39 0423 603 657 • info@damc.it • www.damc.it | v2.damc.it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DAMC — D'Andrea Massimo Consulenze | Dal Problema Normativo 2025–2026 alla Soluzione LAB Enterprise v2.1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